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5BE3F" w14:textId="77777777" w:rsidR="00DB75B8" w:rsidRDefault="00DB75B8" w:rsidP="00DB75B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737FD1" w:rsidRPr="00737FD1">
        <w:rPr>
          <w:b/>
          <w:i/>
          <w:noProof/>
          <w:sz w:val="28"/>
        </w:rPr>
        <w:t>S5-237219</w:t>
      </w:r>
    </w:p>
    <w:p w14:paraId="55102D0F" w14:textId="77777777" w:rsidR="003612BE" w:rsidRDefault="00DB75B8" w:rsidP="00DB75B8">
      <w:pPr>
        <w:pStyle w:val="Header"/>
        <w:rPr>
          <w:sz w:val="22"/>
          <w:szCs w:val="22"/>
        </w:rPr>
      </w:pPr>
      <w:r>
        <w:rPr>
          <w:sz w:val="24"/>
        </w:rPr>
        <w:t>Xiamen, China, 9 - 13 October 2023</w:t>
      </w:r>
    </w:p>
    <w:p w14:paraId="689D7EC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7D165CF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FD1">
        <w:rPr>
          <w:rFonts w:ascii="Arial" w:hAnsi="Arial"/>
          <w:b/>
          <w:lang w:val="en-US"/>
        </w:rPr>
        <w:t>Vice-Chair</w:t>
      </w:r>
    </w:p>
    <w:p w14:paraId="5DF8FEB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FD1">
        <w:rPr>
          <w:rFonts w:ascii="Arial" w:hAnsi="Arial" w:cs="Arial"/>
          <w:b/>
        </w:rPr>
        <w:t>Minutes of the breakout session on the AI/ML topic</w:t>
      </w:r>
    </w:p>
    <w:p w14:paraId="345098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1306E1B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FD1">
        <w:rPr>
          <w:rFonts w:ascii="Arial" w:hAnsi="Arial"/>
          <w:b/>
        </w:rPr>
        <w:t>6.3.14</w:t>
      </w:r>
    </w:p>
    <w:p w14:paraId="0A0EC0E4" w14:textId="77777777" w:rsidR="00C022E3" w:rsidRDefault="00C022E3">
      <w:pPr>
        <w:pStyle w:val="Heading1"/>
      </w:pPr>
      <w:r>
        <w:t>1</w:t>
      </w:r>
      <w:r>
        <w:tab/>
        <w:t>Decision/action requested</w:t>
      </w:r>
    </w:p>
    <w:p w14:paraId="730AAB43" w14:textId="77777777" w:rsidR="00C022E3" w:rsidRDefault="00737FD1">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The group is requested to take the content for information</w:t>
      </w:r>
    </w:p>
    <w:p w14:paraId="7B5931A2" w14:textId="77777777" w:rsidR="00C022E3" w:rsidRDefault="00C022E3" w:rsidP="00737FD1">
      <w:pPr>
        <w:pStyle w:val="Heading1"/>
      </w:pPr>
      <w:r>
        <w:t>2</w:t>
      </w:r>
      <w:r>
        <w:tab/>
      </w:r>
      <w:r w:rsidR="00737FD1">
        <w:t>Minutes</w:t>
      </w:r>
    </w:p>
    <w:p w14:paraId="27D1FD47"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Group 1: Inference function modelling</w:t>
      </w:r>
    </w:p>
    <w:p w14:paraId="3DEE5626"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S5-236650r1  Rel-18 Input to draft CR TS 28.105 ML Inference NRM (Nokia, Nokia Shanghai Bell) (Stephen Mwanje)</w:t>
      </w:r>
    </w:p>
    <w:p w14:paraId="7B6BC2F9"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prefers to not have too many generic concepts that may confuse the reader. MDA function in 28.104 is already generic... all specific functions can inherit from it. This MDA function can contain multiple capabilities... Our preference is to model in concrete IOCs.</w:t>
      </w:r>
    </w:p>
    <w:p w14:paraId="7023BC1F"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N: focus on modeling the functional capabilities that depend on ML. Not MDA function, it's rather an IOC that helps in getting/deriving analytics. We define inference as an entity relying on the ML code. Multiple functions that support the analytics delivery... (same applies to other categories). Otherwise we need to standardize one inference function for each functionality. With SON example, SON function can use an inference "behind" it to derive certain SON outcomes. These two should not be coupled together.</w:t>
      </w:r>
    </w:p>
    <w:p w14:paraId="25F4E03C"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H: Prefer concrete IOCs for inference functions (there are not too many permutations). Generic Q to the group - what is the inference outcome for MDA?</w:t>
      </w:r>
    </w:p>
    <w:p w14:paraId="3E4B11B9"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from the consumer perspective there is no difference. From the manager perspective, there is difference... association with ML entities... the management of MDA sees the difference.</w:t>
      </w:r>
    </w:p>
    <w:p w14:paraId="60F3BB53"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H: For the outcome, there is no difference. Therefore there is no need for a new IOC (representing inference function)</w:t>
      </w:r>
    </w:p>
    <w:p w14:paraId="0166462F"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 xml:space="preserve">NEC: we are not duplicating anything, we model AI/ML part (inference part). And we address the requirements from the other WGs. </w:t>
      </w:r>
    </w:p>
    <w:p w14:paraId="4B9F232F"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N: the challenges are that specific inference functions don't match the expectations on managing AI/ML (are you going to re-model SON functions because they got AI/ML inside?). Proposes to model inference as re-useable construct (not coupled with SON function itself).</w:t>
      </w:r>
    </w:p>
    <w:p w14:paraId="33159F10"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RAN3 feedback - they don't tie SON functionality with AI/ML. These should be managed separately.</w:t>
      </w:r>
    </w:p>
    <w:p w14:paraId="5F83F7B6"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Rapporteur: the agreement is to model the inference functions as individual IOCs and we model the common properties of the inference as generic IOC. The relationship between individual and common is inheritance.</w:t>
      </w:r>
    </w:p>
    <w:p w14:paraId="64C2E538"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H: sees the value in the common IOC to capture the common properties... expresses concern with inheritance - we do have generic MDA function. Multiple inheritance may be needed in some cases.</w:t>
      </w:r>
    </w:p>
    <w:p w14:paraId="23E088F6"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DT: the disagreements seem to focus on the instances - one side tries to prohibit instances of a generic "parent", while other insists that both options should be allowed. This seems to be the essence of the argument.</w:t>
      </w:r>
    </w:p>
    <w:p w14:paraId="77F30341"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Rapporteur: the remaining disagreement is on whether the common (parent) IOC is allowed to be instantiated or it has to be prevented from instantiation by making it abstract.</w:t>
      </w:r>
    </w:p>
    <w:p w14:paraId="40D0D62A"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Show of hands:</w:t>
      </w:r>
    </w:p>
    <w:p w14:paraId="26B4E559"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lastRenderedPageBreak/>
        <w:t xml:space="preserve"> - option 1: make the parent (generic inference) IOC abstract (i.e. instantiations are not allowed) - 2 hands (NEC amd Intel)</w:t>
      </w:r>
    </w:p>
    <w:p w14:paraId="04CF43E1" w14:textId="797680D9"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noProof/>
          <w:color w:val="000000"/>
          <w:lang w:eastAsia="zh-CN"/>
        </w:rPr>
        <w:drawing>
          <wp:inline distT="0" distB="0" distL="0" distR="0" wp14:anchorId="34EEBB43" wp14:editId="66A23FCD">
            <wp:extent cx="5581650" cy="1009650"/>
            <wp:effectExtent l="0" t="0" r="0" b="0"/>
            <wp:docPr id="221109181" name="Picture 6"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diagram of a computer program&#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0" cy="1009650"/>
                    </a:xfrm>
                    <a:prstGeom prst="rect">
                      <a:avLst/>
                    </a:prstGeom>
                    <a:noFill/>
                    <a:ln>
                      <a:noFill/>
                    </a:ln>
                  </pic:spPr>
                </pic:pic>
              </a:graphicData>
            </a:graphic>
          </wp:inline>
        </w:drawing>
      </w:r>
    </w:p>
    <w:p w14:paraId="1E6BB93A"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 xml:space="preserve"> - option 2: make the parent (generic inference) IOC "normal" (i.e. instantiations are allowed) - 4 hands (E///, DT, Huawei, Nokia)</w:t>
      </w:r>
    </w:p>
    <w:p w14:paraId="25AD992C" w14:textId="39AE123C"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noProof/>
          <w:color w:val="000000"/>
          <w:lang w:eastAsia="zh-CN"/>
        </w:rPr>
        <w:drawing>
          <wp:inline distT="0" distB="0" distL="0" distR="0" wp14:anchorId="4592BD00" wp14:editId="51FEDE96">
            <wp:extent cx="5514975" cy="990600"/>
            <wp:effectExtent l="0" t="0" r="0" b="0"/>
            <wp:docPr id="13" name="Picture 7"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close-up of a 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4975" cy="990600"/>
                    </a:xfrm>
                    <a:prstGeom prst="rect">
                      <a:avLst/>
                    </a:prstGeom>
                    <a:noFill/>
                    <a:ln>
                      <a:noFill/>
                    </a:ln>
                  </pic:spPr>
                </pic:pic>
              </a:graphicData>
            </a:graphic>
          </wp:inline>
        </w:drawing>
      </w:r>
    </w:p>
    <w:p w14:paraId="0FDA022E" w14:textId="2AE6807D"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Conclusion: option 2 (non-abstract parent) is preferred, Intel is OK(ish) too.</w:t>
      </w:r>
      <w:r w:rsidRPr="00737FD1">
        <w:rPr>
          <w:rFonts w:ascii="Calibri" w:hAnsi="Calibri" w:cs="Calibri"/>
          <w:b/>
          <w:noProof/>
          <w:color w:val="000000"/>
          <w:lang w:eastAsia="zh-CN"/>
        </w:rPr>
        <w:drawing>
          <wp:inline distT="0" distB="0" distL="0" distR="0" wp14:anchorId="296983AA" wp14:editId="2D22CB85">
            <wp:extent cx="5553075" cy="1104900"/>
            <wp:effectExtent l="0" t="0" r="0" b="0"/>
            <wp:docPr id="2"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3075" cy="1104900"/>
                    </a:xfrm>
                    <a:prstGeom prst="rect">
                      <a:avLst/>
                    </a:prstGeom>
                    <a:noFill/>
                    <a:ln>
                      <a:noFill/>
                    </a:ln>
                  </pic:spPr>
                </pic:pic>
              </a:graphicData>
            </a:graphic>
          </wp:inline>
        </w:drawing>
      </w:r>
    </w:p>
    <w:p w14:paraId="39926658" w14:textId="024850A1"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noProof/>
          <w:color w:val="000000"/>
          <w:lang w:eastAsia="zh-CN"/>
        </w:rPr>
        <w:drawing>
          <wp:inline distT="0" distB="0" distL="0" distR="0" wp14:anchorId="4FECE25B" wp14:editId="575C12C1">
            <wp:extent cx="1409700" cy="1209675"/>
            <wp:effectExtent l="0" t="0" r="0" b="0"/>
            <wp:docPr id="1" name="Picture 5"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functi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209675"/>
                    </a:xfrm>
                    <a:prstGeom prst="rect">
                      <a:avLst/>
                    </a:prstGeom>
                    <a:noFill/>
                    <a:ln>
                      <a:noFill/>
                    </a:ln>
                  </pic:spPr>
                </pic:pic>
              </a:graphicData>
            </a:graphic>
          </wp:inline>
        </w:drawing>
      </w:r>
    </w:p>
    <w:p w14:paraId="406D0A52"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To be merged with 6478 and 6543 (only the agreed modeling concepts to be captured in the revision, all other aspects to be dropped)</w:t>
      </w:r>
    </w:p>
    <w:p w14:paraId="3231C927"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S5-236478  Rel-18 draftCR TS 28.105 Add solution for AIML inference function management (Huawei) (xiaoli Shi)</w:t>
      </w:r>
    </w:p>
    <w:p w14:paraId="3AFE9D15"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this contribution does not represent the concern expressed by H in the previous contribution (inheritance vs. name containment)</w:t>
      </w:r>
    </w:p>
    <w:p w14:paraId="54DD0625"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To be merged with 6650 and 6543 (only the agreed modeling concepts to be captured in the revision, all other aspects to be dropped)-</w:t>
      </w:r>
      <w:r w:rsidRPr="00737FD1">
        <w:rPr>
          <w:rFonts w:ascii="Calibri" w:hAnsi="Calibri" w:cs="Calibri"/>
          <w:b/>
          <w:color w:val="000000"/>
          <w:lang w:eastAsia="zh-CN"/>
        </w:rPr>
        <w:tab/>
        <w:t>S5-236814d1  Add use case and requirements for AIML inference configuration management (China Mobile) (Yushuang Hu)</w:t>
      </w:r>
    </w:p>
    <w:p w14:paraId="3E419946"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the revision d1 does not address our concern. The configuration should be function-specific. For configuration we cannot have this generic use case (the parameters will be function-specific). The activation can be generic. The parameters will be different for each function.</w:t>
      </w:r>
    </w:p>
    <w:p w14:paraId="75A1F87B"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N: if there are different parameters in each function, they remain different... but the configuration action remains the same</w:t>
      </w:r>
    </w:p>
    <w:p w14:paraId="61C66FA8"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for management of AI we need to know what is being configured.</w:t>
      </w:r>
    </w:p>
    <w:p w14:paraId="14B66C4E"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E: we've sent written comments offline... there is no improvement in the d1 version. It's unclear what problem is being solved. The UC text seems to be not accurate. The requirement seems to not add much value.</w:t>
      </w:r>
    </w:p>
    <w:p w14:paraId="3565B1DF"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DT: we also don't see d1 version as improvement (our previous concerns are not resolved).</w:t>
      </w:r>
    </w:p>
    <w:p w14:paraId="19658112"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lastRenderedPageBreak/>
        <w:t>Rapporteur: proposes to continue the discussion of this contribution offline to potentially reach acceptable content. (it may be doable).</w:t>
      </w:r>
    </w:p>
    <w:p w14:paraId="661546D6"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E: we'd like to see the need (motivation for the new content) before we dive into detailed discussion of the content.</w:t>
      </w:r>
    </w:p>
    <w:p w14:paraId="594B5B87"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DT: we observe that according to the requirements, both consumer and producer can configure the inference function... but what happens in case of a conflict between them (what configuration prevails?)? If the two requirements are combined, the "to inform" part should be separated... (same comment has been conveyed before, but still not resolved).</w:t>
      </w:r>
    </w:p>
    <w:p w14:paraId="3B033770"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S5-236543 Input to DraftCR 28.105 Add NRMs for RAN intelligence functions (Intel, NEC) (Yizhi Yao)</w:t>
      </w:r>
    </w:p>
    <w:p w14:paraId="0572A506"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To be merged with 6478 and 6650 (only the agreed modeling concepts to be captured in the revision, all other aspects to be dropped)</w:t>
      </w:r>
    </w:p>
    <w:p w14:paraId="1A3188C9" w14:textId="77777777" w:rsidR="00737FD1" w:rsidRPr="00737FD1" w:rsidRDefault="00737FD1" w:rsidP="00737FD1">
      <w:pPr>
        <w:spacing w:after="160" w:line="259" w:lineRule="auto"/>
        <w:ind w:left="720"/>
        <w:rPr>
          <w:rFonts w:ascii="Calibri" w:hAnsi="Calibri" w:cs="Calibri"/>
          <w:b/>
          <w:color w:val="000000"/>
          <w:lang w:eastAsia="zh-CN"/>
        </w:rPr>
      </w:pPr>
    </w:p>
    <w:p w14:paraId="795943EF" w14:textId="77777777" w:rsidR="00737FD1" w:rsidRPr="00737FD1" w:rsidRDefault="00737FD1" w:rsidP="00737FD1">
      <w:pPr>
        <w:spacing w:after="160" w:line="259" w:lineRule="auto"/>
        <w:rPr>
          <w:rFonts w:ascii="Calibri" w:hAnsi="Calibri" w:cs="Calibri"/>
          <w:b/>
          <w:color w:val="000000"/>
          <w:lang w:eastAsia="zh-CN"/>
        </w:rPr>
      </w:pPr>
    </w:p>
    <w:p w14:paraId="70901B83"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Group 2: Inference history</w:t>
      </w:r>
    </w:p>
    <w:p w14:paraId="637C5BCF"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S5-236686  Rel-18 Input to draft CR TS 28.105 ML Inference History NRM (Nokia, Nokia Shanghai Bell, NTT DOCOMO) (Tejas Subramanya)</w:t>
      </w:r>
    </w:p>
    <w:p w14:paraId="34DB11B5"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S5-236685  Rel-18 Input to draft CR TS 28.105 ML Inference History use case and requirements (Nokia, Nokia Shanghai Bell, NEC, NTT DOCOMO) (Tejas Subramanya)</w:t>
      </w:r>
    </w:p>
    <w:p w14:paraId="534309BF"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S5-236826  Add use case and requirements for tracking AI/ML inference decision and context (China Mobile) (Yushuang Hu)</w:t>
      </w:r>
    </w:p>
    <w:p w14:paraId="4DD9B8AE" w14:textId="77777777" w:rsidR="00737FD1" w:rsidRPr="00737FD1" w:rsidRDefault="00737FD1" w:rsidP="00737FD1">
      <w:pPr>
        <w:spacing w:after="160" w:line="259" w:lineRule="auto"/>
        <w:rPr>
          <w:rFonts w:ascii="Calibri" w:hAnsi="Calibri" w:cs="Calibri"/>
          <w:b/>
          <w:color w:val="000000"/>
          <w:lang w:eastAsia="zh-CN"/>
        </w:rPr>
      </w:pPr>
    </w:p>
    <w:p w14:paraId="348ED250"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Group 3: ML entity Loading</w:t>
      </w:r>
    </w:p>
    <w:p w14:paraId="66271E80"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S5-236938d1  Input to DraftCR 28.105 Add use case and requirements for ML entity loading (Intel, NEC, CATT) (Yizhi Yao)</w:t>
      </w:r>
    </w:p>
    <w:p w14:paraId="05CA13BB"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the term still needs to be clarified/agreed (whether it's loading or deployment, transfer, etc...)</w:t>
      </w:r>
    </w:p>
    <w:p w14:paraId="3463B0BF"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N: proposes to agree the term based on the process behind this term... (making it available for use in the inference function). Means the term definition becomes clear.</w:t>
      </w:r>
    </w:p>
    <w:p w14:paraId="6F80519F"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E: agrees with the need to express the "</w:t>
      </w:r>
      <w:bookmarkStart w:id="0" w:name="_Hlk147868398"/>
      <w:r w:rsidRPr="00737FD1">
        <w:rPr>
          <w:rFonts w:ascii="Calibri" w:hAnsi="Calibri" w:cs="Calibri"/>
          <w:b/>
          <w:color w:val="000000"/>
          <w:lang w:eastAsia="zh-CN"/>
        </w:rPr>
        <w:t>making it available for use in the inference function</w:t>
      </w:r>
      <w:bookmarkEnd w:id="0"/>
      <w:r w:rsidRPr="00737FD1">
        <w:rPr>
          <w:rFonts w:ascii="Calibri" w:hAnsi="Calibri" w:cs="Calibri"/>
          <w:b/>
          <w:color w:val="000000"/>
          <w:lang w:eastAsia="zh-CN"/>
        </w:rPr>
        <w:t>" action. The term "deployment" is wrong - other terms can be considered.</w:t>
      </w:r>
    </w:p>
    <w:p w14:paraId="28C8307B"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Editing effort: "</w:t>
      </w:r>
      <w:r w:rsidRPr="00737FD1">
        <w:rPr>
          <w:b/>
        </w:rPr>
        <w:t xml:space="preserve"> ML entity loading: </w:t>
      </w:r>
      <w:bookmarkStart w:id="1" w:name="_Hlk147868552"/>
      <w:r w:rsidRPr="00737FD1">
        <w:rPr>
          <w:bCs/>
        </w:rPr>
        <w:t>the process (a.k.a. a sequence of atomic actions) of making a</w:t>
      </w:r>
      <w:r w:rsidRPr="00737FD1">
        <w:t xml:space="preserve"> trained ML entity available for use at the target AI/ML inference function</w:t>
      </w:r>
      <w:bookmarkEnd w:id="1"/>
      <w:r w:rsidRPr="00737FD1">
        <w:t>.</w:t>
      </w:r>
      <w:r w:rsidRPr="00737FD1">
        <w:rPr>
          <w:rFonts w:ascii="Calibri" w:hAnsi="Calibri" w:cs="Calibri"/>
          <w:b/>
          <w:color w:val="000000"/>
          <w:lang w:eastAsia="zh-CN"/>
        </w:rPr>
        <w:t>"</w:t>
      </w:r>
    </w:p>
    <w:p w14:paraId="22F8B1EE" w14:textId="77777777" w:rsidR="00737FD1" w:rsidRPr="00737FD1" w:rsidRDefault="00737FD1" w:rsidP="00737FD1">
      <w:pPr>
        <w:spacing w:after="160" w:line="259" w:lineRule="auto"/>
        <w:ind w:left="1440"/>
        <w:rPr>
          <w:rStyle w:val="cf01"/>
          <w:sz w:val="20"/>
          <w:szCs w:val="20"/>
        </w:rPr>
      </w:pPr>
      <w:r w:rsidRPr="00737FD1">
        <w:rPr>
          <w:rStyle w:val="cf01"/>
          <w:sz w:val="20"/>
          <w:szCs w:val="20"/>
        </w:rPr>
        <w:t>The term "loading" may be revisited - this is to be captured as EN.</w:t>
      </w:r>
    </w:p>
    <w:p w14:paraId="39CEC9BC" w14:textId="77777777" w:rsidR="00737FD1" w:rsidRPr="00737FD1" w:rsidRDefault="00737FD1" w:rsidP="00737FD1">
      <w:pPr>
        <w:spacing w:after="160" w:line="259" w:lineRule="auto"/>
        <w:ind w:left="1440"/>
        <w:rPr>
          <w:rStyle w:val="cf01"/>
          <w:sz w:val="20"/>
          <w:szCs w:val="20"/>
        </w:rPr>
      </w:pPr>
      <w:r w:rsidRPr="00737FD1">
        <w:rPr>
          <w:rStyle w:val="cf01"/>
          <w:sz w:val="20"/>
          <w:szCs w:val="20"/>
        </w:rPr>
        <w:t>The relationship between SA5 processes and RAN, SA1 (model transfer) and SA2 (NWDAF) processes may be investigated later - this is to be captured as an EN.</w:t>
      </w:r>
    </w:p>
    <w:p w14:paraId="4D1DF5B5"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N: with the agreed definition, we could focus on the rest of the contribution... the second definition should be non-duplicating/non-controversial... proposes to change it to "something else"</w:t>
      </w:r>
    </w:p>
    <w:p w14:paraId="1167F461"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I: the "management" includes the following actions - to trigger, control and/or monitor the loading process</w:t>
      </w:r>
    </w:p>
    <w:p w14:paraId="5C16D5A0"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Editing effort: "</w:t>
      </w:r>
      <w:r w:rsidRPr="00737FD1">
        <w:rPr>
          <w:b/>
          <w:bCs/>
        </w:rPr>
        <w:t xml:space="preserve"> ML entity loading management</w:t>
      </w:r>
      <w:r w:rsidRPr="00737FD1">
        <w:t>: allowing the MnS consumer to trigger, control and/or monitor the ML entity loading process.</w:t>
      </w:r>
      <w:r w:rsidRPr="00737FD1">
        <w:rPr>
          <w:rFonts w:ascii="Calibri" w:hAnsi="Calibri" w:cs="Calibri"/>
          <w:b/>
          <w:color w:val="000000"/>
          <w:lang w:eastAsia="zh-CN"/>
        </w:rPr>
        <w:t>"</w:t>
      </w:r>
    </w:p>
    <w:p w14:paraId="730E314A"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N: all the rest of the contribution 6.4.1.2 need to be revised (offline) - N will provide comments</w:t>
      </w:r>
    </w:p>
    <w:p w14:paraId="0285DFBE"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H: will provide offline comments as well</w:t>
      </w:r>
    </w:p>
    <w:p w14:paraId="64E5393D"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Conclusion - revision is needed (potential for co-signing by N, E and H)</w:t>
      </w:r>
    </w:p>
    <w:p w14:paraId="48D1C25D"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S5-236545  Input to DraftCR 28.105 Add NRMs for ML entity loading (Intel, NEC, CATT) (Yizhi Yao)</w:t>
      </w:r>
    </w:p>
    <w:p w14:paraId="321A352A"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lastRenderedPageBreak/>
        <w:t>N: has concerns with the proxy class and the loading entity - who name contains the request seems to be problematic.</w:t>
      </w:r>
    </w:p>
    <w:p w14:paraId="32765BC2"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Conclusion - a revision may be possible based on the offline discussion between authors and N</w:t>
      </w:r>
    </w:p>
    <w:p w14:paraId="01AAF09B"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S5-236818  Add use case and requirements for ML entity loading control and monitoring (China Mobile) (Yushuang Hu)</w:t>
      </w:r>
    </w:p>
    <w:p w14:paraId="15DD1698" w14:textId="77777777" w:rsidR="00737FD1" w:rsidRPr="00737FD1" w:rsidRDefault="00737FD1" w:rsidP="00737FD1">
      <w:pPr>
        <w:spacing w:after="160" w:line="259" w:lineRule="auto"/>
        <w:ind w:left="720"/>
        <w:rPr>
          <w:rFonts w:ascii="Calibri" w:hAnsi="Calibri" w:cs="Calibri"/>
          <w:b/>
          <w:color w:val="000000"/>
          <w:lang w:eastAsia="zh-CN"/>
        </w:rPr>
      </w:pPr>
      <w:r w:rsidRPr="00737FD1">
        <w:rPr>
          <w:rFonts w:ascii="Calibri" w:hAnsi="Calibri" w:cs="Calibri"/>
          <w:b/>
          <w:color w:val="000000"/>
          <w:lang w:eastAsia="zh-CN"/>
        </w:rPr>
        <w:t>Rapporteur: this is to be merged in to the revision of the 938d1</w:t>
      </w:r>
    </w:p>
    <w:p w14:paraId="5DB8861C"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S5-236680  Rel-18 Input to DraftCR 28.105 add AI ML management capabilities for ML deployment and inference (China Mobile Com. Corporation) (Sheng GAO)</w:t>
      </w:r>
    </w:p>
    <w:p w14:paraId="0AFDB631" w14:textId="77777777" w:rsidR="00737FD1" w:rsidRPr="00737FD1" w:rsidRDefault="00737FD1" w:rsidP="00737FD1">
      <w:pPr>
        <w:spacing w:after="160" w:line="259" w:lineRule="auto"/>
        <w:rPr>
          <w:rFonts w:ascii="Calibri" w:hAnsi="Calibri" w:cs="Calibri"/>
          <w:b/>
          <w:color w:val="000000"/>
          <w:lang w:eastAsia="zh-CN"/>
        </w:rPr>
      </w:pPr>
    </w:p>
    <w:p w14:paraId="42433D5C"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Group 4: ML training activation</w:t>
      </w:r>
    </w:p>
    <w:p w14:paraId="2895B7CF"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S5-236410  Rel18 Input to draft CR TS 28.105 Use case and requirements for ML Training activation (Nokia, Nokia Shanghai Bell, NTT DOCOMO, Intel) (Sean Sun)</w:t>
      </w:r>
    </w:p>
    <w:p w14:paraId="12B93B52"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S5-236655  Rel-18 Input to draft CR TS 28.105 ML Training policy-based activation (Nokia, Nokia Shanghai Bell) (Stephen Mwanje)</w:t>
      </w:r>
    </w:p>
    <w:p w14:paraId="67257854"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S5-236681  Rel-18 Input to Draft CR 28.105 Modification on ML training initiated by producer (China Mobile Com. Corporation) (Sheng GAO)</w:t>
      </w:r>
    </w:p>
    <w:p w14:paraId="2386098E"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S5-236825  Add use case and requirements for pre-processed event data for ML training (China Mobile) (Yushuang Hu)</w:t>
      </w:r>
    </w:p>
    <w:p w14:paraId="68295AA9" w14:textId="77777777" w:rsidR="00737FD1" w:rsidRPr="00737FD1" w:rsidRDefault="00737FD1" w:rsidP="00737FD1">
      <w:pPr>
        <w:spacing w:after="160" w:line="259" w:lineRule="auto"/>
        <w:rPr>
          <w:rFonts w:ascii="Calibri" w:hAnsi="Calibri" w:cs="Calibri"/>
          <w:b/>
          <w:color w:val="000000"/>
          <w:lang w:eastAsia="zh-CN"/>
        </w:rPr>
      </w:pPr>
    </w:p>
    <w:p w14:paraId="1587E994"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Group 5: ML update</w:t>
      </w:r>
    </w:p>
    <w:p w14:paraId="1A1880A0"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S5-236366  Rel-18 Input to draft CR TS 28.105 Complete ML Update Solution (Nokia, Nokia Shangai Bell) (Sivaramakrishnan Swaminathan)</w:t>
      </w:r>
    </w:p>
    <w:p w14:paraId="390B33E5"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S5-236544  Input to DraftCR 28.105 Correction of ML update related IOCs (Intel, NEC) (Yizhi Yao)</w:t>
      </w:r>
    </w:p>
    <w:p w14:paraId="7DD2B3C0"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S5-236684  Rel-18 Input to Draft CR 28.105 Modification on description of AIML update control (China Mobile Com. Corporation) (Sheng GAO)</w:t>
      </w:r>
    </w:p>
    <w:p w14:paraId="1746CB9B" w14:textId="77777777" w:rsidR="00737FD1" w:rsidRPr="00737FD1" w:rsidRDefault="00737FD1" w:rsidP="00737FD1">
      <w:pPr>
        <w:spacing w:after="160" w:line="259" w:lineRule="auto"/>
        <w:rPr>
          <w:rFonts w:ascii="Calibri" w:hAnsi="Calibri" w:cs="Calibri"/>
          <w:b/>
          <w:color w:val="000000"/>
          <w:lang w:eastAsia="zh-CN"/>
        </w:rPr>
      </w:pPr>
    </w:p>
    <w:p w14:paraId="11FDC0B8"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Group 6: AI/ML inference Emulation</w:t>
      </w:r>
    </w:p>
    <w:p w14:paraId="4ED70A4A"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S5-236652 Rel-18 Input to draft CR TS 28.105 ML Inference emulation Requirements (Nokia, Nokia Shanghai Bell, NTT DOCOMO, NEC) - Stephen Mwanje</w:t>
      </w:r>
    </w:p>
    <w:p w14:paraId="2AB2A29C" w14:textId="77777777" w:rsidR="00737FD1" w:rsidRPr="00737FD1" w:rsidRDefault="00737FD1" w:rsidP="00737FD1">
      <w:pPr>
        <w:spacing w:after="160" w:line="259" w:lineRule="auto"/>
        <w:rPr>
          <w:rFonts w:ascii="Calibri" w:hAnsi="Calibri" w:cs="Calibri"/>
          <w:b/>
          <w:color w:val="000000"/>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S5-236657 Rel-18 Input to draft CR TS 28.105 ML Inference emulation NRM (Nokia, Nokia Shanghai Bell) - Stephen Mwanje</w:t>
      </w:r>
    </w:p>
    <w:p w14:paraId="2214F977" w14:textId="77777777" w:rsidR="00737FD1" w:rsidRPr="00737FD1" w:rsidRDefault="00737FD1" w:rsidP="00737FD1">
      <w:pPr>
        <w:spacing w:after="160" w:line="259" w:lineRule="auto"/>
        <w:rPr>
          <w:rFonts w:ascii="Calibri" w:hAnsi="Calibri" w:cs="Calibri"/>
          <w:b/>
          <w:color w:val="000000"/>
          <w:highlight w:val="yellow"/>
          <w:lang w:eastAsia="zh-CN"/>
        </w:rPr>
      </w:pPr>
      <w:r w:rsidRPr="00737FD1">
        <w:rPr>
          <w:rFonts w:ascii="Calibri" w:hAnsi="Calibri" w:cs="Calibri"/>
          <w:b/>
          <w:color w:val="000000"/>
          <w:lang w:eastAsia="zh-CN"/>
        </w:rPr>
        <w:t>-</w:t>
      </w:r>
      <w:r w:rsidRPr="00737FD1">
        <w:rPr>
          <w:rFonts w:ascii="Calibri" w:hAnsi="Calibri" w:cs="Calibri"/>
          <w:b/>
          <w:color w:val="000000"/>
          <w:lang w:eastAsia="zh-CN"/>
        </w:rPr>
        <w:tab/>
        <w:t>S5-236683 Rel-18 Input to Draft CR 28.105 Add use cases for ML emulation phase (China Mobile Com. Corporation) - Sheng GAO</w:t>
      </w:r>
    </w:p>
    <w:p w14:paraId="19B305F3" w14:textId="77777777" w:rsidR="00737FD1" w:rsidRPr="00737FD1" w:rsidRDefault="00737FD1" w:rsidP="00737FD1">
      <w:pPr>
        <w:spacing w:after="160" w:line="259" w:lineRule="auto"/>
        <w:rPr>
          <w:rFonts w:ascii="Calibri" w:hAnsi="Calibri" w:cs="Calibri"/>
          <w:b/>
          <w:color w:val="000000"/>
        </w:rPr>
      </w:pPr>
    </w:p>
    <w:p w14:paraId="03F80C34" w14:textId="77777777" w:rsidR="00737FD1" w:rsidRPr="00737FD1" w:rsidRDefault="00737FD1" w:rsidP="00737FD1">
      <w:pPr>
        <w:spacing w:after="160" w:line="259" w:lineRule="auto"/>
        <w:rPr>
          <w:rFonts w:ascii="Calibri" w:hAnsi="Calibri" w:cs="Calibri"/>
          <w:b/>
          <w:color w:val="000000"/>
        </w:rPr>
      </w:pPr>
      <w:r w:rsidRPr="00737FD1">
        <w:rPr>
          <w:rFonts w:ascii="Calibri" w:hAnsi="Calibri" w:cs="Calibri"/>
          <w:b/>
          <w:color w:val="000000"/>
        </w:rPr>
        <w:t>Group 7: Corrections</w:t>
      </w:r>
    </w:p>
    <w:p w14:paraId="5DF8E0F5" w14:textId="77777777" w:rsidR="00737FD1" w:rsidRPr="00737FD1" w:rsidRDefault="00737FD1" w:rsidP="00737FD1">
      <w:pPr>
        <w:spacing w:after="160" w:line="259" w:lineRule="auto"/>
        <w:rPr>
          <w:rFonts w:ascii="Calibri" w:hAnsi="Calibri" w:cs="Calibri"/>
          <w:b/>
          <w:color w:val="000000"/>
        </w:rPr>
      </w:pPr>
      <w:r w:rsidRPr="00737FD1">
        <w:rPr>
          <w:rFonts w:ascii="Calibri" w:hAnsi="Calibri" w:cs="Calibri"/>
          <w:b/>
          <w:color w:val="000000"/>
        </w:rPr>
        <w:t>-</w:t>
      </w:r>
      <w:r w:rsidRPr="00737FD1">
        <w:rPr>
          <w:rFonts w:ascii="Calibri" w:hAnsi="Calibri" w:cs="Calibri"/>
          <w:b/>
          <w:color w:val="000000"/>
        </w:rPr>
        <w:tab/>
        <w:t>S5-236782 pCR Input to DraftCR TS 28.105 Harmonize usage of ML model and entity (Ericsson Limited) -Zhulia Ayani</w:t>
      </w:r>
    </w:p>
    <w:p w14:paraId="2FDB0E71"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I: prefers to define ML entity as "implementation of ML model"</w:t>
      </w:r>
    </w:p>
    <w:p w14:paraId="01C5CD10"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ML model is an algorithm... the ML entity is an artefact generated as a result of ML training</w:t>
      </w:r>
    </w:p>
    <w:p w14:paraId="1C588148"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I: when you train, you generate a model... how you encode/encapsulate it is not standardized</w:t>
      </w:r>
    </w:p>
    <w:p w14:paraId="0A646FEB"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ML entity is a "deliverable"</w:t>
      </w:r>
    </w:p>
    <w:p w14:paraId="4A263CCC"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lastRenderedPageBreak/>
        <w:t>N: ML entity is an artefact (represented by a modeled object). How do we capture "based on ML model" property?</w:t>
      </w:r>
    </w:p>
    <w:p w14:paraId="37F74151"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concern is that the algorithm is not what is being delivered</w:t>
      </w:r>
    </w:p>
    <w:p w14:paraId="239186C9"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I: proposed text: "ML entity is a manageable artefact of an ML model"</w:t>
      </w:r>
    </w:p>
    <w:p w14:paraId="20EC9600"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NEC: does it mean that the ML entity does not exist until the training is complete (before the model is trained)?</w:t>
      </w:r>
    </w:p>
    <w:p w14:paraId="2F4354B2"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CMCC: what is "manageable" aspect?</w:t>
      </w:r>
    </w:p>
    <w:p w14:paraId="4514EA36"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e.g. versioning, etc... something that can be activated</w:t>
      </w:r>
    </w:p>
    <w:p w14:paraId="4E69E046"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CMCC: is it model with versioning capabilities?</w:t>
      </w:r>
    </w:p>
    <w:p w14:paraId="4ECDC248"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model is something that has to be protected</w:t>
      </w:r>
    </w:p>
    <w:p w14:paraId="46A330BA"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CMCC: is the ML entity an acting/functioning thing or just a container for the (encrypted/protected) model with some metadata?</w:t>
      </w:r>
    </w:p>
    <w:p w14:paraId="7D9130F9"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N: it's an "envelope" containing the model and all the necessary data to make it useable (i.e. it's part of a runnable function, not runnable function itself)</w:t>
      </w:r>
    </w:p>
    <w:p w14:paraId="4610C5C1"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there can be several entities working cooperatively... one of them is the ML entity (but it's not a standalone self-sufficient thing)</w:t>
      </w:r>
    </w:p>
    <w:p w14:paraId="0C7F5C5A"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CMCC: ok with the clarification (as it's not touching the "image based model transfer" known to other SDOs)</w:t>
      </w:r>
    </w:p>
    <w:p w14:paraId="0D069701"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I/DT: unhappy with the note "</w:t>
      </w:r>
      <w:r w:rsidRPr="00737FD1">
        <w:t xml:space="preserve"> NOTE: This term is often used during inference as ML model is not visible</w:t>
      </w:r>
      <w:r w:rsidRPr="00737FD1">
        <w:rPr>
          <w:rFonts w:ascii="Calibri" w:hAnsi="Calibri" w:cs="Calibri"/>
          <w:b/>
          <w:color w:val="000000"/>
        </w:rPr>
        <w:t xml:space="preserve"> "</w:t>
      </w:r>
    </w:p>
    <w:p w14:paraId="50DBBE94"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E: will remove the note</w:t>
      </w:r>
    </w:p>
    <w:p w14:paraId="192B1CF8"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H: concern with the term "ML training" - needs to be aligned with initial and re-training (addressed by H contribution)</w:t>
      </w:r>
    </w:p>
    <w:p w14:paraId="26030A78"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Conclusion to be revised with the following text: "ML entity is a manageable artefact of an ML model"</w:t>
      </w:r>
    </w:p>
    <w:p w14:paraId="5DB57628" w14:textId="77777777" w:rsidR="00737FD1" w:rsidRPr="00737FD1" w:rsidRDefault="00737FD1" w:rsidP="00737FD1">
      <w:pPr>
        <w:spacing w:after="160" w:line="259" w:lineRule="auto"/>
        <w:rPr>
          <w:rFonts w:ascii="Calibri" w:hAnsi="Calibri" w:cs="Calibri"/>
          <w:b/>
          <w:color w:val="000000"/>
        </w:rPr>
      </w:pPr>
      <w:r w:rsidRPr="00737FD1">
        <w:rPr>
          <w:rFonts w:ascii="Calibri" w:hAnsi="Calibri" w:cs="Calibri"/>
          <w:b/>
          <w:color w:val="000000"/>
        </w:rPr>
        <w:t>-</w:t>
      </w:r>
      <w:r w:rsidRPr="00737FD1">
        <w:rPr>
          <w:rFonts w:ascii="Calibri" w:hAnsi="Calibri" w:cs="Calibri"/>
          <w:b/>
          <w:color w:val="000000"/>
        </w:rPr>
        <w:tab/>
        <w:t>S5-236806 CR correction of IOC Name (Ericsson) - Zhulia Ayani</w:t>
      </w:r>
    </w:p>
    <w:p w14:paraId="1582D133" w14:textId="77777777" w:rsidR="00737FD1" w:rsidRPr="00737FD1" w:rsidRDefault="00737FD1" w:rsidP="00737FD1">
      <w:pPr>
        <w:spacing w:after="160" w:line="259" w:lineRule="auto"/>
        <w:rPr>
          <w:rFonts w:ascii="Calibri" w:hAnsi="Calibri" w:cs="Calibri"/>
          <w:b/>
          <w:color w:val="000000"/>
        </w:rPr>
      </w:pPr>
      <w:r w:rsidRPr="00737FD1">
        <w:rPr>
          <w:rFonts w:ascii="Calibri" w:hAnsi="Calibri" w:cs="Calibri"/>
          <w:b/>
          <w:color w:val="000000"/>
        </w:rPr>
        <w:t>-</w:t>
      </w:r>
      <w:r w:rsidRPr="00737FD1">
        <w:rPr>
          <w:rFonts w:ascii="Calibri" w:hAnsi="Calibri" w:cs="Calibri"/>
          <w:b/>
          <w:color w:val="000000"/>
        </w:rPr>
        <w:tab/>
        <w:t>S5-236476 Rel-18 draftCR TS 28.105 Corrections of term of AIML management (Huawei) - xiaoli Shi</w:t>
      </w:r>
    </w:p>
    <w:p w14:paraId="56A03DE2"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 xml:space="preserve">E: we don't train the entity... </w:t>
      </w:r>
    </w:p>
    <w:p w14:paraId="5C72F552"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I: need to be merged with the revision of 6782</w:t>
      </w:r>
    </w:p>
    <w:p w14:paraId="413A2C0C"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DT/E: NOTE 3 should be removed (taken care of by E CR)</w:t>
      </w:r>
    </w:p>
    <w:p w14:paraId="6FB8995B" w14:textId="77777777" w:rsidR="00737FD1" w:rsidRPr="00737FD1" w:rsidRDefault="00737FD1" w:rsidP="00737FD1">
      <w:pPr>
        <w:spacing w:after="160" w:line="259" w:lineRule="auto"/>
        <w:ind w:left="720"/>
        <w:rPr>
          <w:rFonts w:ascii="Calibri" w:hAnsi="Calibri" w:cs="Calibri"/>
          <w:b/>
          <w:color w:val="000000"/>
        </w:rPr>
      </w:pPr>
      <w:r w:rsidRPr="00737FD1">
        <w:rPr>
          <w:rFonts w:ascii="Calibri" w:hAnsi="Calibri" w:cs="Calibri"/>
          <w:b/>
          <w:color w:val="000000"/>
        </w:rPr>
        <w:t>Conclusion - merge needs to happen... then the revision will be revisited.</w:t>
      </w:r>
    </w:p>
    <w:p w14:paraId="17E01F76" w14:textId="77777777" w:rsidR="00737FD1" w:rsidRPr="00737FD1" w:rsidRDefault="00737FD1" w:rsidP="00737FD1">
      <w:pPr>
        <w:spacing w:after="160" w:line="259" w:lineRule="auto"/>
        <w:rPr>
          <w:rFonts w:ascii="Calibri" w:hAnsi="Calibri" w:cs="Calibri"/>
          <w:b/>
          <w:color w:val="000000"/>
        </w:rPr>
      </w:pPr>
      <w:r w:rsidRPr="00737FD1">
        <w:rPr>
          <w:rFonts w:ascii="Calibri" w:hAnsi="Calibri" w:cs="Calibri"/>
          <w:b/>
          <w:color w:val="000000"/>
        </w:rPr>
        <w:t>-</w:t>
      </w:r>
      <w:r w:rsidRPr="00737FD1">
        <w:rPr>
          <w:rFonts w:ascii="Calibri" w:hAnsi="Calibri" w:cs="Calibri"/>
          <w:b/>
          <w:color w:val="000000"/>
        </w:rPr>
        <w:tab/>
        <w:t xml:space="preserve">S5-236477 Rel-18 draftCR TS 28.105 corrections for ML performance indicator selection (Huawei) -xiaoli Shi </w:t>
      </w:r>
    </w:p>
    <w:p w14:paraId="0C23BED2" w14:textId="77777777" w:rsidR="00737FD1" w:rsidRPr="00737FD1" w:rsidRDefault="00737FD1" w:rsidP="00737FD1">
      <w:pPr>
        <w:spacing w:after="160" w:line="259" w:lineRule="auto"/>
        <w:rPr>
          <w:rFonts w:ascii="Calibri" w:hAnsi="Calibri" w:cs="Calibri"/>
          <w:b/>
          <w:color w:val="000000"/>
        </w:rPr>
      </w:pPr>
      <w:r w:rsidRPr="00737FD1">
        <w:rPr>
          <w:rFonts w:ascii="Calibri" w:hAnsi="Calibri" w:cs="Calibri"/>
          <w:b/>
          <w:color w:val="000000"/>
        </w:rPr>
        <w:t>-</w:t>
      </w:r>
      <w:r w:rsidRPr="00737FD1">
        <w:rPr>
          <w:rFonts w:ascii="Calibri" w:hAnsi="Calibri" w:cs="Calibri"/>
          <w:b/>
          <w:color w:val="000000"/>
        </w:rPr>
        <w:tab/>
        <w:t>S5-236797 Rel-18 CR 28.105 Correction of attribute properties (Ericsson Limited ) - Zhulia Ayani</w:t>
      </w:r>
    </w:p>
    <w:p w14:paraId="525C46AB" w14:textId="77777777" w:rsidR="00737FD1" w:rsidRPr="00737FD1" w:rsidRDefault="00737FD1" w:rsidP="00737FD1"/>
    <w:p w14:paraId="390FF9CB" w14:textId="77777777" w:rsidR="00737FD1" w:rsidRPr="00737FD1" w:rsidRDefault="00737FD1" w:rsidP="00737FD1"/>
    <w:sectPr w:rsidR="00737FD1" w:rsidRPr="00737FD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FA3AB" w14:textId="77777777" w:rsidR="00BF682E" w:rsidRDefault="00BF682E">
      <w:r>
        <w:separator/>
      </w:r>
    </w:p>
  </w:endnote>
  <w:endnote w:type="continuationSeparator" w:id="0">
    <w:p w14:paraId="018FEFE9" w14:textId="77777777" w:rsidR="00BF682E" w:rsidRDefault="00BF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08F79" w14:textId="77777777" w:rsidR="00BF682E" w:rsidRDefault="00BF682E">
      <w:r>
        <w:separator/>
      </w:r>
    </w:p>
  </w:footnote>
  <w:footnote w:type="continuationSeparator" w:id="0">
    <w:p w14:paraId="78AB46A3" w14:textId="77777777" w:rsidR="00BF682E" w:rsidRDefault="00BF6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9636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8744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5726198">
    <w:abstractNumId w:val="13"/>
  </w:num>
  <w:num w:numId="4" w16cid:durableId="138692043">
    <w:abstractNumId w:val="16"/>
  </w:num>
  <w:num w:numId="5" w16cid:durableId="1346789160">
    <w:abstractNumId w:val="15"/>
  </w:num>
  <w:num w:numId="6" w16cid:durableId="1340277839">
    <w:abstractNumId w:val="11"/>
  </w:num>
  <w:num w:numId="7" w16cid:durableId="2044944154">
    <w:abstractNumId w:val="12"/>
  </w:num>
  <w:num w:numId="8" w16cid:durableId="622544320">
    <w:abstractNumId w:val="20"/>
  </w:num>
  <w:num w:numId="9" w16cid:durableId="298803847">
    <w:abstractNumId w:val="18"/>
  </w:num>
  <w:num w:numId="10" w16cid:durableId="601841673">
    <w:abstractNumId w:val="19"/>
  </w:num>
  <w:num w:numId="11" w16cid:durableId="53239525">
    <w:abstractNumId w:val="14"/>
  </w:num>
  <w:num w:numId="12" w16cid:durableId="1005278831">
    <w:abstractNumId w:val="17"/>
  </w:num>
  <w:num w:numId="13" w16cid:durableId="477964440">
    <w:abstractNumId w:val="9"/>
  </w:num>
  <w:num w:numId="14" w16cid:durableId="446200699">
    <w:abstractNumId w:val="7"/>
  </w:num>
  <w:num w:numId="15" w16cid:durableId="50035484">
    <w:abstractNumId w:val="6"/>
  </w:num>
  <w:num w:numId="16" w16cid:durableId="802889571">
    <w:abstractNumId w:val="5"/>
  </w:num>
  <w:num w:numId="17" w16cid:durableId="1318143600">
    <w:abstractNumId w:val="4"/>
  </w:num>
  <w:num w:numId="18" w16cid:durableId="1819179907">
    <w:abstractNumId w:val="8"/>
  </w:num>
  <w:num w:numId="19" w16cid:durableId="745735619">
    <w:abstractNumId w:val="3"/>
  </w:num>
  <w:num w:numId="20" w16cid:durableId="994262710">
    <w:abstractNumId w:val="2"/>
  </w:num>
  <w:num w:numId="21" w16cid:durableId="425537534">
    <w:abstractNumId w:val="1"/>
  </w:num>
  <w:num w:numId="22" w16cid:durableId="1670523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A3"/>
    <w:rsid w:val="00046389"/>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37FD1"/>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DE74582"/>
  <w15:chartTrackingRefBased/>
  <w15:docId w15:val="{47F0679D-95A2-43E0-8B52-2AA8476A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cf01">
    <w:name w:val="cf01"/>
    <w:rsid w:val="00737F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Anatoly Andrianov</cp:lastModifiedBy>
  <cp:revision>2</cp:revision>
  <cp:lastPrinted>1601-01-01T00:00:00Z</cp:lastPrinted>
  <dcterms:created xsi:type="dcterms:W3CDTF">2023-10-13T01:02:00Z</dcterms:created>
  <dcterms:modified xsi:type="dcterms:W3CDTF">2023-10-13T01:02:00Z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